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ns:wpg="http://schemas.microsoft.com/office/word/2010/wordprocessingGroup" xmlns:wps="http://schemas.microsoft.com/office/word/2010/wordprocessingShape">
  <w:body>
    <w:tbl>
      <w:tblPr>
        <w:tblStyle w:val="TableStyle0"/>
        <w:tblW w:w="149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10"/>
        <w:gridCol w:w="285"/>
        <w:gridCol w:w="285"/>
        <w:gridCol w:w="285"/>
        <w:gridCol w:w="300"/>
        <w:gridCol w:w="285"/>
        <w:gridCol w:w="285"/>
        <w:gridCol w:w="120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40"/>
        <w:gridCol w:w="180"/>
        <w:gridCol w:w="150"/>
        <w:gridCol w:w="195"/>
      </w:tblGrid>
      <w:tr>
        <w:trPr>
          <w:cantSplit/>
          <w:trHeight w:val="0" w:hRule="auto"/>
        </w:trPr>
        <w:tc>
          <w:tcPr>
            <w:tcW w:w="14955" w:type="dxa"/>
            <w:gridSpan w:val="54"/>
            <w:shd w:val="clear" w:color="auto" w:fill="auto"/>
            <w:textDirection w:val="lrTb"/>
            <w:vAlign w:val="bottom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20"/>
                <w:szCs w:val="20"/>
              </w:rPr>
              <w:t>Форма 4</w:t>
            </w:r>
          </w:p>
        </w:tc>
      </w:tr>
      <w:tr>
        <w:trPr>
          <w:cantSplit/>
          <w:trHeight w:val="0" w:hRule="auto"/>
        </w:trPr>
        <w:tc>
          <w:tcPr>
            <w:tcW w:w="14955" w:type="dxa"/>
            <w:gridSpan w:val="54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СВЕДЕНИЯ</w:t>
            </w:r>
          </w:p>
        </w:tc>
      </w:tr>
      <w:tr>
        <w:trPr>
          <w:cantSplit/>
          <w:trHeight w:val="0" w:hRule="auto"/>
        </w:trPr>
        <w:tc>
          <w:tcPr>
            <w:tcW w:w="14955" w:type="dxa"/>
            <w:gridSpan w:val="54"/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об оценке эффективности реализации</w:t>
            </w:r>
          </w:p>
        </w:tc>
      </w:tr>
      <w:tr>
        <w:trPr>
          <w:cantSplit/>
          <w:trHeight w:val="0" w:hRule="auto"/>
        </w:trPr>
        <w:tc>
          <w:tcPr>
            <w:tcW w:w="14955" w:type="dxa"/>
            <w:gridSpan w:val="54"/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в 2025 году муниципальной программы</w:t>
            </w:r>
          </w:p>
        </w:tc>
      </w:tr>
      <w:tr>
        <w:trPr>
          <w:cantSplit/>
          <w:trHeight w:val="0" w:hRule="auto"/>
        </w:trPr>
        <w:tc>
          <w:tcPr>
            <w:tcW w:w="14955" w:type="dxa"/>
            <w:gridSpan w:val="54"/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"Формирование благоприятного социального климата в ЗАТО Северск" на 2025 - 2027 годы</w:t>
            </w:r>
          </w:p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№ п/п</w:t>
            </w:r>
          </w:p>
        </w:tc>
        <w:tc>
          <w:tcPr>
            <w:tcW w:w="5190" w:type="dxa"/>
            <w:gridSpan w:val="18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Наименование подпрограмм, задач подпрограмм, КМП, основного мероприятия муниципальной программы</w:t>
            </w:r>
          </w:p>
        </w:tc>
        <w:tc>
          <w:tcPr>
            <w:tcW w:w="195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Степень достижения целей и решения задач (СДП) </w:t>
            </w:r>
          </w:p>
        </w:tc>
        <w:tc>
          <w:tcPr>
            <w:tcW w:w="1845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center"/>
            </w:pPr>
            <w:r>
              <w:rPr>
                <w:rFonts w:ascii="Arial" w:hAnsi="Arial"/>
                <w:sz w:val="20"/>
                <w:szCs w:val="20"/>
              </w:rPr>
              <w:t>Степень освоения средств (СОС)</w:t>
            </w:r>
          </w:p>
        </w:tc>
        <w:tc>
          <w:tcPr>
            <w:tcW w:w="5385" w:type="dxa"/>
            <w:gridSpan w:val="2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Оценка эффективности программы (подпрограммы)</w:t>
            </w:r>
          </w:p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5190" w:type="dxa"/>
            <w:gridSpan w:val="18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950" w:type="dxa"/>
            <w:gridSpan w:val="7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845" w:type="dxa"/>
            <w:gridSpan w:val="7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5385" w:type="dxa"/>
            <w:gridSpan w:val="20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5190" w:type="dxa"/>
            <w:gridSpan w:val="18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950" w:type="dxa"/>
            <w:gridSpan w:val="7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845" w:type="dxa"/>
            <w:gridSpan w:val="7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5385" w:type="dxa"/>
            <w:gridSpan w:val="20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5190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95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5385" w:type="dxa"/>
            <w:gridSpan w:val="2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1.</w:t>
            </w:r>
          </w:p>
        </w:tc>
        <w:tc>
          <w:tcPr>
            <w:tcW w:w="5190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Подпрограмма 1 "Реализация социальных мер (льгот) для отдельных категорий граждан и поддержка социально ориентированных некоммерческих организаций"</w:t>
            </w:r>
          </w:p>
        </w:tc>
        <w:tc>
          <w:tcPr>
            <w:tcW w:w="195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1,00</w:t>
            </w:r>
          </w:p>
        </w:tc>
        <w:tc>
          <w:tcPr>
            <w:tcW w:w="184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0,86</w:t>
            </w:r>
          </w:p>
        </w:tc>
        <w:tc>
          <w:tcPr>
            <w:tcW w:w="115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230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both"/>
            </w:pPr>
            <w:r>
              <w:rPr>
                <w:rFonts w:ascii="Arial" w:hAnsi="Arial"/>
                <w:sz w:val="20"/>
                <w:szCs w:val="20"/>
              </w:rPr>
              <w:t>Эффективная. Некорректно спланирован объем финансирования. Возможен пересмотр муниципальной программы (подпрограммы) в части уточнения финансовых ресурсов и перераспределения их на другие подпрограммы (мероприятия подпрограмм)</w:t>
            </w:r>
          </w:p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5190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Подпрограмма 2 "Доступная среда"</w:t>
            </w:r>
          </w:p>
        </w:tc>
        <w:tc>
          <w:tcPr>
            <w:tcW w:w="195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1,00</w:t>
            </w:r>
          </w:p>
        </w:tc>
        <w:tc>
          <w:tcPr>
            <w:tcW w:w="184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1,00</w:t>
            </w:r>
          </w:p>
        </w:tc>
        <w:tc>
          <w:tcPr>
            <w:tcW w:w="115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230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both"/>
            </w:pPr>
            <w:r>
              <w:rPr>
                <w:rFonts w:ascii="Arial" w:hAnsi="Arial"/>
                <w:sz w:val="20"/>
                <w:szCs w:val="20"/>
              </w:rPr>
              <w:t>Высокая эффективность.</w:t>
            </w:r>
          </w:p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3.</w:t>
            </w:r>
          </w:p>
        </w:tc>
        <w:tc>
          <w:tcPr>
            <w:tcW w:w="5190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Подпрограмма 3 "Опека детей-сирот и детей, оставшихся без попечения родителей"</w:t>
            </w:r>
          </w:p>
        </w:tc>
        <w:tc>
          <w:tcPr>
            <w:tcW w:w="195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0,91</w:t>
            </w:r>
          </w:p>
        </w:tc>
        <w:tc>
          <w:tcPr>
            <w:tcW w:w="184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0,93</w:t>
            </w:r>
          </w:p>
        </w:tc>
        <w:tc>
          <w:tcPr>
            <w:tcW w:w="115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230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both"/>
            </w:pPr>
            <w:r>
              <w:rPr>
                <w:rFonts w:ascii="Arial" w:hAnsi="Arial"/>
                <w:sz w:val="20"/>
                <w:szCs w:val="20"/>
              </w:rPr>
              <w:t>Эффективная. Некорректно спланирован объем финансирования. Возможен пересмотр муниципальной программы (подпрограммы) в части уточнения финансовых ресурсов и перераспределения их на другие подпрограммы (мероприятия подпрограмм)</w:t>
            </w:r>
          </w:p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4.</w:t>
            </w:r>
          </w:p>
        </w:tc>
        <w:tc>
          <w:tcPr>
            <w:tcW w:w="5190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Подпрограмма 4 "Обеспечивающая подпрограмма"</w:t>
            </w:r>
          </w:p>
        </w:tc>
        <w:tc>
          <w:tcPr>
            <w:tcW w:w="195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84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  <w:tc>
          <w:tcPr>
            <w:tcW w:w="115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  <w:tc>
          <w:tcPr>
            <w:tcW w:w="4230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both"/>
            </w:pPr>
            <w:r>
              <w:rPr>
                <w:rFonts w:ascii="Arial" w:hAnsi="Arial"/>
                <w:sz w:val="20"/>
                <w:szCs w:val="20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5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jc w:val="left"/>
            </w:pPr>
          </w:p>
        </w:tc>
        <w:tc>
          <w:tcPr>
            <w:tcW w:w="5190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Муниципальная программа "Формирование благоприятного социального климата в ЗАТО Северск" на 2025 - 2027 годы</w:t>
            </w:r>
          </w:p>
        </w:tc>
        <w:tc>
          <w:tcPr>
            <w:tcW w:w="195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0,97</w:t>
            </w:r>
          </w:p>
        </w:tc>
        <w:tc>
          <w:tcPr>
            <w:tcW w:w="1845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0,91</w:t>
            </w:r>
          </w:p>
        </w:tc>
        <w:tc>
          <w:tcPr>
            <w:tcW w:w="115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230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both"/>
            </w:pPr>
            <w:r>
              <w:rPr>
                <w:rFonts w:ascii="Arial" w:hAnsi="Arial"/>
                <w:sz w:val="20"/>
                <w:szCs w:val="20"/>
              </w:rPr>
              <w:t>Эффективная. Некорректно спланирован объем финансирования. Возможен пересмотр муниципальной программы (подпрограммы) в части уточнения финансовых ресурсов и перераспределения их на другие подпрограммы (мероприятия подпрограмм)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